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/>
        <w:rPr>
          <w:rFonts w:hint="eastAsia" w:cs="Tahoma" w:asciiTheme="minorEastAsia" w:hAnsiTheme="minorEastAsia"/>
          <w:b/>
          <w:bCs/>
          <w:color w:val="333333"/>
          <w:kern w:val="0"/>
          <w:sz w:val="24"/>
          <w:szCs w:val="24"/>
        </w:rPr>
      </w:pPr>
    </w:p>
    <w:p>
      <w:pPr>
        <w:widowControl/>
        <w:spacing w:before="156" w:beforeLines="50" w:after="156" w:afterLines="50"/>
        <w:jc w:val="center"/>
        <w:rPr>
          <w:rFonts w:cs="Tahoma" w:asciiTheme="minorEastAsia" w:hAnsiTheme="minorEastAsia"/>
          <w:b/>
          <w:bCs/>
          <w:color w:val="333333"/>
          <w:kern w:val="0"/>
          <w:sz w:val="24"/>
          <w:szCs w:val="24"/>
        </w:rPr>
      </w:pPr>
      <w:r>
        <w:rPr>
          <w:rFonts w:hint="eastAsia" w:cs="Tahoma" w:asciiTheme="minorEastAsia" w:hAnsiTheme="minorEastAsia"/>
          <w:b/>
          <w:bCs/>
          <w:color w:val="333333"/>
          <w:kern w:val="0"/>
          <w:sz w:val="24"/>
          <w:szCs w:val="24"/>
        </w:rPr>
        <w:t>《新东方多媒体学习库》简介</w:t>
      </w:r>
    </w:p>
    <w:p>
      <w:pPr>
        <w:widowControl/>
        <w:spacing w:before="156" w:beforeLines="50" w:after="156" w:afterLines="50"/>
        <w:jc w:val="left"/>
        <w:rPr>
          <w:rFonts w:hint="eastAsia" w:cs="Tahoma" w:asciiTheme="minorEastAsia" w:hAnsiTheme="minorEastAsia"/>
          <w:b/>
          <w:bCs/>
          <w:color w:val="333333"/>
          <w:kern w:val="0"/>
          <w:szCs w:val="21"/>
        </w:rPr>
      </w:pPr>
    </w:p>
    <w:p>
      <w:pPr>
        <w:widowControl/>
        <w:spacing w:before="156" w:beforeLines="50" w:after="156" w:afterLines="50"/>
        <w:jc w:val="left"/>
        <w:rPr>
          <w:rFonts w:cs="Tahoma" w:asciiTheme="minorEastAsia" w:hAnsiTheme="minorEastAsia"/>
          <w:color w:val="333333"/>
          <w:kern w:val="0"/>
          <w:sz w:val="18"/>
          <w:szCs w:val="18"/>
        </w:rPr>
      </w:pPr>
      <w:r>
        <w:rPr>
          <w:rFonts w:hint="eastAsia" w:cs="Tahoma" w:asciiTheme="minorEastAsia" w:hAnsiTheme="minorEastAsia"/>
          <w:b/>
          <w:bCs/>
          <w:color w:val="333333"/>
          <w:kern w:val="0"/>
          <w:szCs w:val="21"/>
        </w:rPr>
        <w:t>数据库简介：</w:t>
      </w:r>
    </w:p>
    <w:p>
      <w:pPr>
        <w:widowControl/>
        <w:spacing w:before="156" w:beforeLines="50" w:after="156" w:afterLines="50"/>
        <w:ind w:firstLine="475"/>
        <w:jc w:val="left"/>
        <w:rPr>
          <w:rFonts w:cs="Arial" w:asciiTheme="minorEastAsia" w:hAnsiTheme="minorEastAsia"/>
          <w:color w:val="333333"/>
          <w:kern w:val="0"/>
          <w:sz w:val="18"/>
          <w:szCs w:val="18"/>
        </w:rPr>
      </w:pPr>
      <w:r>
        <w:rPr>
          <w:rFonts w:cs="Arial" w:asciiTheme="minorEastAsia" w:hAnsiTheme="minorEastAsia"/>
          <w:color w:val="333333"/>
          <w:kern w:val="0"/>
          <w:szCs w:val="21"/>
        </w:rPr>
        <w:t>《新东方多媒体学习库》是由新东方教育</w:t>
      </w:r>
      <w:r>
        <w:rPr>
          <w:rFonts w:hint="eastAsia" w:cs="Arial" w:asciiTheme="minorEastAsia" w:hAnsiTheme="minorEastAsia"/>
          <w:color w:val="333333"/>
          <w:kern w:val="0"/>
          <w:szCs w:val="21"/>
        </w:rPr>
        <w:t>科技</w:t>
      </w:r>
      <w:r>
        <w:rPr>
          <w:rFonts w:cs="Arial" w:asciiTheme="minorEastAsia" w:hAnsiTheme="minorEastAsia"/>
          <w:color w:val="333333"/>
          <w:kern w:val="0"/>
          <w:szCs w:val="21"/>
        </w:rPr>
        <w:t>集团主办、</w:t>
      </w:r>
      <w:r>
        <w:rPr>
          <w:rFonts w:hint="eastAsia" w:cs="Arial" w:asciiTheme="minorEastAsia" w:hAnsiTheme="minorEastAsia"/>
          <w:color w:val="333333"/>
          <w:kern w:val="0"/>
          <w:szCs w:val="21"/>
        </w:rPr>
        <w:t>北京新东方迅程网络科技股份有限公司（简称“</w:t>
      </w:r>
      <w:r>
        <w:rPr>
          <w:rFonts w:cs="Arial" w:asciiTheme="minorEastAsia" w:hAnsiTheme="minorEastAsia"/>
          <w:color w:val="333333"/>
          <w:kern w:val="0"/>
          <w:szCs w:val="21"/>
        </w:rPr>
        <w:t>新东方在线</w:t>
      </w:r>
      <w:r>
        <w:rPr>
          <w:rFonts w:hint="eastAsia" w:cs="Arial" w:asciiTheme="minorEastAsia" w:hAnsiTheme="minorEastAsia"/>
          <w:color w:val="333333"/>
          <w:kern w:val="0"/>
          <w:szCs w:val="21"/>
        </w:rPr>
        <w:t>”）</w:t>
      </w:r>
      <w:r>
        <w:rPr>
          <w:rFonts w:cs="Arial" w:asciiTheme="minorEastAsia" w:hAnsiTheme="minorEastAsia"/>
          <w:color w:val="333333"/>
          <w:kern w:val="0"/>
          <w:szCs w:val="21"/>
        </w:rPr>
        <w:t>制作的系列</w:t>
      </w:r>
      <w:r>
        <w:rPr>
          <w:rFonts w:hint="eastAsia" w:cs="Arial" w:asciiTheme="minorEastAsia" w:hAnsiTheme="minorEastAsia"/>
          <w:color w:val="333333"/>
          <w:kern w:val="0"/>
          <w:szCs w:val="21"/>
        </w:rPr>
        <w:t>在线</w:t>
      </w:r>
      <w:r>
        <w:rPr>
          <w:rFonts w:cs="Arial" w:asciiTheme="minorEastAsia" w:hAnsiTheme="minorEastAsia"/>
          <w:color w:val="333333"/>
          <w:kern w:val="0"/>
          <w:szCs w:val="21"/>
        </w:rPr>
        <w:t>教育课程。为师生提供大量的在线增值服务，最新的考试资讯、新东方名师讲座。资源内容完整、知识覆盖面广、数据质量高、100%合法版权，更新速度快、周期短。具有极强的互动性，通过多媒体技术制作成高科技的视频+音频的互动式多媒体网络课程，满足学生的一站式学习要求。</w:t>
      </w:r>
    </w:p>
    <w:p>
      <w:pPr>
        <w:widowControl/>
        <w:spacing w:before="156" w:beforeLines="50" w:after="156" w:afterLines="50"/>
        <w:ind w:firstLine="475"/>
        <w:jc w:val="left"/>
        <w:rPr>
          <w:rFonts w:cs="Arial" w:asciiTheme="minorEastAsia" w:hAnsiTheme="minorEastAsia"/>
          <w:color w:val="333333"/>
          <w:kern w:val="0"/>
          <w:szCs w:val="21"/>
        </w:rPr>
      </w:pPr>
      <w:r>
        <w:rPr>
          <w:rFonts w:cs="Arial" w:asciiTheme="minorEastAsia" w:hAnsiTheme="minorEastAsia"/>
          <w:color w:val="333333"/>
          <w:kern w:val="0"/>
          <w:szCs w:val="21"/>
        </w:rPr>
        <w:t>内容包括：国内考试类（大学英语四六级</w:t>
      </w:r>
      <w:r>
        <w:rPr>
          <w:rFonts w:hint="eastAsia" w:cs="Arial" w:asciiTheme="minorEastAsia" w:hAnsiTheme="minorEastAsia"/>
          <w:color w:val="333333"/>
          <w:kern w:val="0"/>
          <w:szCs w:val="21"/>
        </w:rPr>
        <w:t>等，考研英语，英语A</w:t>
      </w:r>
      <w:r>
        <w:rPr>
          <w:rFonts w:cs="Arial" w:asciiTheme="minorEastAsia" w:hAnsiTheme="minorEastAsia"/>
          <w:color w:val="333333"/>
          <w:kern w:val="0"/>
          <w:szCs w:val="21"/>
        </w:rPr>
        <w:t>B</w:t>
      </w:r>
      <w:r>
        <w:rPr>
          <w:rFonts w:hint="eastAsia" w:cs="Arial" w:asciiTheme="minorEastAsia" w:hAnsiTheme="minorEastAsia"/>
          <w:color w:val="333333"/>
          <w:kern w:val="0"/>
          <w:szCs w:val="21"/>
        </w:rPr>
        <w:t>级，专升本英语数学语文，</w:t>
      </w:r>
      <w:r>
        <w:rPr>
          <w:rFonts w:hint="eastAsia" w:cs="SourceHanSansCN-Regular" w:asciiTheme="minorEastAsia" w:hAnsiTheme="minorEastAsia"/>
          <w:kern w:val="0"/>
          <w:szCs w:val="21"/>
        </w:rPr>
        <w:t>中小学、幼儿教师资格证</w:t>
      </w:r>
      <w:r>
        <w:rPr>
          <w:rFonts w:cs="Arial" w:asciiTheme="minorEastAsia" w:hAnsiTheme="minorEastAsia"/>
          <w:color w:val="333333"/>
          <w:kern w:val="0"/>
          <w:szCs w:val="21"/>
        </w:rPr>
        <w:t>）、出国留学类（TOEFL、IELTS、GRE、GMAT</w:t>
      </w:r>
      <w:r>
        <w:rPr>
          <w:rFonts w:hint="eastAsia" w:cs="Arial" w:asciiTheme="minorEastAsia" w:hAnsiTheme="minorEastAsia"/>
          <w:color w:val="333333"/>
          <w:kern w:val="0"/>
          <w:szCs w:val="21"/>
        </w:rPr>
        <w:t>等</w:t>
      </w:r>
      <w:r>
        <w:rPr>
          <w:rFonts w:cs="Arial" w:asciiTheme="minorEastAsia" w:hAnsiTheme="minorEastAsia"/>
          <w:color w:val="333333"/>
          <w:kern w:val="0"/>
          <w:szCs w:val="21"/>
        </w:rPr>
        <w:t>）、小语种类（日语、韩语、法语、德语、西班牙语等）、应用外语类（新概念、商务英语）、职业认证类（医护英语</w:t>
      </w:r>
      <w:r>
        <w:rPr>
          <w:rFonts w:hint="eastAsia" w:cs="Arial" w:asciiTheme="minorEastAsia" w:hAnsiTheme="minorEastAsia"/>
          <w:color w:val="333333"/>
          <w:kern w:val="0"/>
          <w:szCs w:val="21"/>
        </w:rPr>
        <w:t>、金融类考试</w:t>
      </w:r>
      <w:r>
        <w:rPr>
          <w:rFonts w:cs="Arial" w:asciiTheme="minorEastAsia" w:hAnsiTheme="minorEastAsia"/>
          <w:color w:val="333333"/>
          <w:kern w:val="0"/>
          <w:szCs w:val="21"/>
        </w:rPr>
        <w:t>）、求职指导类和实用技能类（文献调研与信息素养）等多类精品课程。</w:t>
      </w:r>
    </w:p>
    <w:p>
      <w:pPr>
        <w:widowControl/>
        <w:spacing w:before="156" w:beforeLines="50" w:after="156" w:afterLines="50"/>
        <w:ind w:firstLine="475"/>
        <w:jc w:val="left"/>
        <w:rPr>
          <w:rFonts w:hint="eastAsia" w:cs="Arial" w:asciiTheme="minorEastAsia" w:hAnsiTheme="minorEastAsia"/>
          <w:color w:val="333333"/>
          <w:kern w:val="0"/>
          <w:szCs w:val="21"/>
        </w:rPr>
      </w:pPr>
      <w:r>
        <w:rPr>
          <w:rFonts w:hint="eastAsia" w:cs="Arial" w:asciiTheme="minorEastAsia" w:hAnsiTheme="minorEastAsia"/>
          <w:color w:val="333333"/>
          <w:kern w:val="0"/>
          <w:szCs w:val="21"/>
        </w:rPr>
        <w:t>欢迎使用！</w:t>
      </w:r>
    </w:p>
    <w:p>
      <w:pPr>
        <w:widowControl/>
        <w:spacing w:before="156" w:beforeLines="50" w:after="156" w:afterLines="50"/>
        <w:jc w:val="left"/>
        <w:rPr>
          <w:rStyle w:val="8"/>
          <w:rFonts w:cs="Arial" w:asciiTheme="minorEastAsia" w:hAnsiTheme="minorEastAsia"/>
          <w:kern w:val="0"/>
          <w:szCs w:val="21"/>
        </w:rPr>
      </w:pPr>
      <w:r>
        <w:rPr>
          <w:rFonts w:cs="Arial" w:asciiTheme="minorEastAsia" w:hAnsiTheme="minorEastAsia"/>
          <w:b/>
          <w:bCs/>
          <w:color w:val="333333"/>
          <w:kern w:val="0"/>
          <w:szCs w:val="21"/>
        </w:rPr>
        <w:t>访问链接：</w:t>
      </w:r>
      <w:r>
        <w:fldChar w:fldCharType="begin"/>
      </w:r>
      <w:r>
        <w:instrText xml:space="preserve"> HYPERLINK "http://library.koolearn.com" </w:instrText>
      </w:r>
      <w:r>
        <w:fldChar w:fldCharType="separate"/>
      </w:r>
      <w:r>
        <w:rPr>
          <w:rStyle w:val="8"/>
          <w:rFonts w:cs="Arial" w:asciiTheme="minorEastAsia" w:hAnsiTheme="minorEastAsia"/>
          <w:kern w:val="0"/>
          <w:szCs w:val="21"/>
        </w:rPr>
        <w:t>http://library.koolearn.com</w:t>
      </w:r>
      <w:r>
        <w:rPr>
          <w:rStyle w:val="8"/>
          <w:rFonts w:cs="Arial" w:asciiTheme="minorEastAsia" w:hAnsiTheme="minorEastAsia"/>
          <w:kern w:val="0"/>
          <w:szCs w:val="21"/>
        </w:rPr>
        <w:fldChar w:fldCharType="end"/>
      </w:r>
    </w:p>
    <w:p>
      <w:pPr>
        <w:widowControl/>
        <w:spacing w:before="156" w:beforeLines="50" w:after="156" w:afterLines="50"/>
        <w:jc w:val="left"/>
        <w:rPr>
          <w:rFonts w:cs="Tahoma" w:asciiTheme="minorEastAsia" w:hAnsiTheme="minorEastAsia"/>
          <w:b/>
          <w:bCs/>
          <w:color w:val="333333"/>
          <w:kern w:val="0"/>
          <w:szCs w:val="21"/>
        </w:rPr>
      </w:pPr>
      <w:r>
        <w:rPr>
          <w:rFonts w:hint="eastAsia" w:cs="Tahoma" w:asciiTheme="minorEastAsia" w:hAnsiTheme="minorEastAsia"/>
          <w:b/>
          <w:bCs/>
          <w:color w:val="333333"/>
          <w:kern w:val="0"/>
          <w:szCs w:val="21"/>
        </w:rPr>
        <w:t>访问方式：校内IP访问，不限用户数</w:t>
      </w:r>
    </w:p>
    <w:p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访问地址移动端：</w:t>
      </w:r>
    </w:p>
    <w:p>
      <w:pPr>
        <w:widowControl/>
        <w:spacing w:before="156" w:beforeLines="50" w:after="156" w:afterLines="50"/>
        <w:ind w:firstLine="475"/>
        <w:jc w:val="left"/>
        <w:rPr>
          <w:rFonts w:hint="eastAsia" w:cs="Arial" w:asciiTheme="minorEastAsia" w:hAnsiTheme="minorEastAsia"/>
          <w:color w:val="333333"/>
          <w:kern w:val="0"/>
          <w:szCs w:val="21"/>
        </w:rPr>
      </w:pPr>
      <w:r>
        <w:rPr>
          <w:rFonts w:ascii="宋体" w:hAnsi="宋体" w:eastAsia="宋体"/>
          <w:b/>
          <w:bCs/>
          <w:sz w:val="18"/>
          <w:szCs w:val="18"/>
        </w:rPr>
        <w:drawing>
          <wp:inline distT="0" distB="0" distL="0" distR="0">
            <wp:extent cx="948055" cy="948055"/>
            <wp:effectExtent l="0" t="0" r="12065" b="1206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02" cy="97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</w:t>
      </w:r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ourceHanSansCN-Regular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BC"/>
    <w:rsid w:val="000B6DC1"/>
    <w:rsid w:val="00117553"/>
    <w:rsid w:val="00184ED7"/>
    <w:rsid w:val="001E6B72"/>
    <w:rsid w:val="00231699"/>
    <w:rsid w:val="00246402"/>
    <w:rsid w:val="00266D59"/>
    <w:rsid w:val="002B6F09"/>
    <w:rsid w:val="003B3E84"/>
    <w:rsid w:val="003F11C3"/>
    <w:rsid w:val="003F4603"/>
    <w:rsid w:val="005A08BC"/>
    <w:rsid w:val="006128C7"/>
    <w:rsid w:val="00656666"/>
    <w:rsid w:val="00783BCB"/>
    <w:rsid w:val="00784764"/>
    <w:rsid w:val="00787183"/>
    <w:rsid w:val="007B39E7"/>
    <w:rsid w:val="00911A3E"/>
    <w:rsid w:val="00994DE8"/>
    <w:rsid w:val="00A53029"/>
    <w:rsid w:val="00A55D4F"/>
    <w:rsid w:val="00A93551"/>
    <w:rsid w:val="00AF596E"/>
    <w:rsid w:val="00B21E67"/>
    <w:rsid w:val="00B73AFA"/>
    <w:rsid w:val="00C02354"/>
    <w:rsid w:val="00C247B4"/>
    <w:rsid w:val="00CA221B"/>
    <w:rsid w:val="00D511A4"/>
    <w:rsid w:val="00D93ECF"/>
    <w:rsid w:val="00DC086E"/>
    <w:rsid w:val="00DD267A"/>
    <w:rsid w:val="00E51B52"/>
    <w:rsid w:val="00ED0AC4"/>
    <w:rsid w:val="00F3107E"/>
    <w:rsid w:val="00F42C64"/>
    <w:rsid w:val="00FC5E9F"/>
    <w:rsid w:val="5161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字符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arti_metas1"/>
    <w:basedOn w:val="1"/>
    <w:uiPriority w:val="0"/>
    <w:pPr>
      <w:widowControl/>
      <w:spacing w:before="100" w:beforeAutospacing="1" w:after="100" w:afterAutospacing="1"/>
      <w:jc w:val="center"/>
    </w:pPr>
    <w:rPr>
      <w:rFonts w:ascii="微软雅黑" w:hAnsi="微软雅黑" w:eastAsia="微软雅黑" w:cs="Tahoma"/>
      <w:color w:val="333333"/>
      <w:kern w:val="0"/>
      <w:sz w:val="18"/>
      <w:szCs w:val="18"/>
    </w:rPr>
  </w:style>
  <w:style w:type="character" w:customStyle="1" w:styleId="11">
    <w:name w:val="wp_visitcount1"/>
    <w:basedOn w:val="6"/>
    <w:uiPriority w:val="0"/>
    <w:rPr>
      <w:vanish/>
      <w:color w:val="787878"/>
      <w:sz w:val="18"/>
      <w:szCs w:val="18"/>
    </w:rPr>
  </w:style>
  <w:style w:type="character" w:customStyle="1" w:styleId="12">
    <w:name w:val="页眉 字符"/>
    <w:basedOn w:val="6"/>
    <w:link w:val="4"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uiPriority w:val="99"/>
    <w:rPr>
      <w:sz w:val="18"/>
      <w:szCs w:val="18"/>
    </w:rPr>
  </w:style>
  <w:style w:type="character" w:customStyle="1" w:styleId="14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paragraph" w:customStyle="1" w:styleId="15">
    <w:name w:val="style40style40style23style2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2021-04-16T02:07:00Z</dcterms:created>
  <dc:creator>LEE ROBIN</dc:creator>
  <cp:lastModifiedBy>吕绪法</cp:lastModifiedBy>
  <dcterms:modified xsi:type="dcterms:W3CDTF">2021-10-19T09:24:42Z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D5E85EF460D6493AA5CACD7683585DFE</vt:lpwstr>
  </property>
</Properties>
</file>